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1A" w:rsidRDefault="0009391A" w:rsidP="0009391A">
      <w:pPr>
        <w:spacing w:after="0"/>
        <w:ind w:left="1063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</w:t>
      </w:r>
    </w:p>
    <w:p w:rsidR="0009391A" w:rsidRDefault="0009391A" w:rsidP="0009391A">
      <w:pPr>
        <w:spacing w:after="0"/>
        <w:ind w:left="1063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решением К</w:t>
      </w:r>
      <w:r w:rsidRPr="00C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омиссии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C9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ротиводействию коррупции</w:t>
      </w:r>
    </w:p>
    <w:p w:rsidR="0009391A" w:rsidRPr="00C944E8" w:rsidRDefault="0009391A" w:rsidP="0009391A">
      <w:pPr>
        <w:spacing w:after="0"/>
        <w:ind w:left="1063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F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A0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26</w:t>
      </w:r>
      <w:bookmarkStart w:id="0" w:name="_GoBack"/>
      <w:bookmarkEnd w:id="0"/>
      <w:r w:rsidR="00F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 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201</w:t>
      </w:r>
      <w:r w:rsidRPr="000D5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</w:t>
      </w:r>
    </w:p>
    <w:p w:rsidR="0009391A" w:rsidRPr="00B71B21" w:rsidRDefault="0009391A" w:rsidP="0009391A">
      <w:pPr>
        <w:widowControl w:val="0"/>
        <w:spacing w:after="0"/>
        <w:ind w:right="200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71B2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ПЛАН</w:t>
      </w:r>
    </w:p>
    <w:p w:rsidR="0009391A" w:rsidRDefault="0009391A" w:rsidP="0009391A">
      <w:pPr>
        <w:widowControl w:val="0"/>
        <w:spacing w:after="0"/>
        <w:ind w:right="200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71B2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мероприятий </w:t>
      </w:r>
      <w:r w:rsidR="0097477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по противодействию коррупции</w:t>
      </w:r>
      <w:r w:rsidR="0097477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/>
        <w:t xml:space="preserve">в  Муниципальном </w:t>
      </w:r>
      <w:r w:rsidR="00DF7E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автономном учреждении Многофункциональный центр предоставления государственных и </w:t>
      </w:r>
      <w:r w:rsidR="0097477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муниципальных услуг  Сосновоборского района</w:t>
      </w:r>
      <w:r w:rsidR="00DF7E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B71B2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на 20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20 год</w:t>
      </w:r>
    </w:p>
    <w:p w:rsidR="0009391A" w:rsidRDefault="0009391A" w:rsidP="0009391A">
      <w:pPr>
        <w:widowControl w:val="0"/>
        <w:spacing w:after="0"/>
        <w:ind w:right="200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229"/>
        <w:gridCol w:w="2410"/>
        <w:gridCol w:w="4394"/>
      </w:tblGrid>
      <w:tr w:rsidR="0009391A" w:rsidTr="0009391A">
        <w:trPr>
          <w:trHeight w:val="524"/>
        </w:trPr>
        <w:tc>
          <w:tcPr>
            <w:tcW w:w="710" w:type="dxa"/>
          </w:tcPr>
          <w:p w:rsidR="0009391A" w:rsidRDefault="0009391A" w:rsidP="00654700">
            <w:pPr>
              <w:widowControl w:val="0"/>
              <w:spacing w:after="60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7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B71B2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B71B21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7229" w:type="dxa"/>
          </w:tcPr>
          <w:p w:rsidR="0009391A" w:rsidRDefault="0009391A" w:rsidP="00654700">
            <w:pPr>
              <w:widowControl w:val="0"/>
              <w:spacing w:after="0"/>
              <w:ind w:right="200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71B2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Наименование мероприятий</w:t>
            </w:r>
          </w:p>
        </w:tc>
        <w:tc>
          <w:tcPr>
            <w:tcW w:w="2410" w:type="dxa"/>
          </w:tcPr>
          <w:p w:rsidR="0009391A" w:rsidRPr="00B71B21" w:rsidRDefault="0009391A" w:rsidP="00654700">
            <w:pPr>
              <w:widowControl w:val="0"/>
              <w:spacing w:after="0"/>
              <w:ind w:right="200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71B2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Сроки</w:t>
            </w:r>
          </w:p>
          <w:p w:rsidR="0009391A" w:rsidRDefault="0009391A" w:rsidP="00654700">
            <w:pPr>
              <w:widowControl w:val="0"/>
              <w:spacing w:after="0"/>
              <w:ind w:right="200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71B2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исполнения</w:t>
            </w:r>
          </w:p>
        </w:tc>
        <w:tc>
          <w:tcPr>
            <w:tcW w:w="4394" w:type="dxa"/>
          </w:tcPr>
          <w:p w:rsidR="0009391A" w:rsidRPr="00B71B21" w:rsidRDefault="0009391A" w:rsidP="00654700">
            <w:pPr>
              <w:widowControl w:val="0"/>
              <w:spacing w:after="0"/>
              <w:ind w:right="200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71B2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Ответственные</w:t>
            </w:r>
          </w:p>
          <w:p w:rsidR="0009391A" w:rsidRDefault="0009391A" w:rsidP="00654700">
            <w:pPr>
              <w:widowControl w:val="0"/>
              <w:spacing w:after="0"/>
              <w:ind w:right="200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71B2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исполнители</w:t>
            </w:r>
          </w:p>
        </w:tc>
      </w:tr>
      <w:tr w:rsidR="0009391A" w:rsidTr="0009391A">
        <w:trPr>
          <w:trHeight w:val="349"/>
        </w:trPr>
        <w:tc>
          <w:tcPr>
            <w:tcW w:w="710" w:type="dxa"/>
          </w:tcPr>
          <w:p w:rsidR="0009391A" w:rsidRDefault="0009391A" w:rsidP="00654700">
            <w:pPr>
              <w:widowControl w:val="0"/>
              <w:spacing w:after="0"/>
              <w:ind w:right="200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229" w:type="dxa"/>
          </w:tcPr>
          <w:p w:rsidR="0009391A" w:rsidRDefault="0009391A" w:rsidP="00654700">
            <w:pPr>
              <w:widowControl w:val="0"/>
              <w:spacing w:after="0"/>
              <w:ind w:right="200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410" w:type="dxa"/>
          </w:tcPr>
          <w:p w:rsidR="0009391A" w:rsidRDefault="0009391A" w:rsidP="00654700">
            <w:pPr>
              <w:widowControl w:val="0"/>
              <w:spacing w:after="0"/>
              <w:ind w:right="200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4394" w:type="dxa"/>
          </w:tcPr>
          <w:p w:rsidR="0009391A" w:rsidRDefault="0009391A" w:rsidP="00654700">
            <w:pPr>
              <w:widowControl w:val="0"/>
              <w:spacing w:after="0"/>
              <w:ind w:right="200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</w:tr>
      <w:tr w:rsidR="0009391A" w:rsidTr="0009391A">
        <w:trPr>
          <w:trHeight w:val="644"/>
        </w:trPr>
        <w:tc>
          <w:tcPr>
            <w:tcW w:w="710" w:type="dxa"/>
          </w:tcPr>
          <w:p w:rsidR="0009391A" w:rsidRPr="00CD4A42" w:rsidRDefault="0009391A" w:rsidP="00654700">
            <w:pPr>
              <w:widowControl w:val="0"/>
              <w:spacing w:after="0"/>
              <w:ind w:right="200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D4A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229" w:type="dxa"/>
          </w:tcPr>
          <w:p w:rsidR="0009391A" w:rsidRPr="00CD4A42" w:rsidRDefault="0009391A" w:rsidP="0065470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4A4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4A42">
              <w:rPr>
                <w:rFonts w:ascii="Times New Roman" w:hAnsi="Times New Roman" w:cs="Times New Roman"/>
                <w:sz w:val="28"/>
                <w:szCs w:val="28"/>
              </w:rPr>
              <w:t>омисс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по противодействию коррупции</w:t>
            </w:r>
          </w:p>
        </w:tc>
        <w:tc>
          <w:tcPr>
            <w:tcW w:w="2410" w:type="dxa"/>
          </w:tcPr>
          <w:p w:rsidR="0009391A" w:rsidRPr="00CD4A42" w:rsidRDefault="0009391A" w:rsidP="0065470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4394" w:type="dxa"/>
          </w:tcPr>
          <w:p w:rsidR="0009391A" w:rsidRPr="00CD4A42" w:rsidRDefault="0009391A" w:rsidP="0097477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</w:tr>
      <w:tr w:rsidR="0009391A" w:rsidTr="0009391A">
        <w:trPr>
          <w:trHeight w:val="644"/>
        </w:trPr>
        <w:tc>
          <w:tcPr>
            <w:tcW w:w="710" w:type="dxa"/>
          </w:tcPr>
          <w:p w:rsidR="0009391A" w:rsidRPr="00E07B50" w:rsidRDefault="0009391A" w:rsidP="00654700">
            <w:pPr>
              <w:widowControl w:val="0"/>
              <w:spacing w:after="0"/>
              <w:ind w:right="200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E07B5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229" w:type="dxa"/>
          </w:tcPr>
          <w:p w:rsidR="0009391A" w:rsidRPr="00E07B50" w:rsidRDefault="00CC2D27" w:rsidP="00CC2D27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7B50">
              <w:rPr>
                <w:rFonts w:ascii="Times New Roman" w:hAnsi="Times New Roman" w:cs="Times New Roman"/>
                <w:sz w:val="28"/>
                <w:szCs w:val="28"/>
              </w:rPr>
              <w:t>Рассмотрение плана финансово-хозяйственной</w:t>
            </w:r>
            <w:r w:rsidR="0097477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учреждения на 2020</w:t>
            </w:r>
            <w:r w:rsidRPr="00E07B50">
              <w:rPr>
                <w:rFonts w:ascii="Times New Roman" w:hAnsi="Times New Roman" w:cs="Times New Roman"/>
                <w:sz w:val="28"/>
                <w:szCs w:val="28"/>
              </w:rPr>
              <w:t xml:space="preserve"> год и анализ целевого исполнения бюджетных и внебюджетных средств учреждения</w:t>
            </w:r>
          </w:p>
        </w:tc>
        <w:tc>
          <w:tcPr>
            <w:tcW w:w="2410" w:type="dxa"/>
          </w:tcPr>
          <w:p w:rsidR="0009391A" w:rsidRPr="00E07B50" w:rsidRDefault="0009391A" w:rsidP="00CC2D27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7B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A1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B50">
              <w:rPr>
                <w:rFonts w:ascii="Times New Roman" w:hAnsi="Times New Roman" w:cs="Times New Roman"/>
                <w:sz w:val="28"/>
                <w:szCs w:val="28"/>
              </w:rPr>
              <w:t>квартал 20</w:t>
            </w:r>
            <w:r w:rsidR="001A19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7B5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09391A" w:rsidRPr="00E07B50" w:rsidRDefault="0009391A" w:rsidP="0097477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7B50">
              <w:rPr>
                <w:rStyle w:val="2"/>
                <w:rFonts w:eastAsiaTheme="minorHAnsi"/>
                <w:color w:val="auto"/>
              </w:rPr>
              <w:t xml:space="preserve">Главный бухгалтер </w:t>
            </w:r>
          </w:p>
        </w:tc>
      </w:tr>
      <w:tr w:rsidR="0009391A" w:rsidTr="00DF7EC3">
        <w:trPr>
          <w:trHeight w:val="1225"/>
        </w:trPr>
        <w:tc>
          <w:tcPr>
            <w:tcW w:w="710" w:type="dxa"/>
          </w:tcPr>
          <w:p w:rsidR="0009391A" w:rsidRPr="00CD4A42" w:rsidRDefault="0009391A" w:rsidP="00654700">
            <w:pPr>
              <w:widowControl w:val="0"/>
              <w:spacing w:after="0"/>
              <w:ind w:right="200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D4A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7229" w:type="dxa"/>
          </w:tcPr>
          <w:p w:rsidR="0009391A" w:rsidRDefault="0009391A" w:rsidP="005B0B5E">
            <w:r w:rsidRPr="00E731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 ознакомления вновь принимаемы</w:t>
            </w:r>
            <w:r w:rsidR="005B0B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х </w:t>
            </w:r>
            <w:r w:rsidRPr="00E731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 работу сотрудник</w:t>
            </w:r>
            <w:r w:rsidR="005B0B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 нормативными актами п</w:t>
            </w:r>
            <w:r w:rsidR="009747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 противодействию коррупции в  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АУ МФЦ</w:t>
            </w:r>
          </w:p>
        </w:tc>
        <w:tc>
          <w:tcPr>
            <w:tcW w:w="2410" w:type="dxa"/>
          </w:tcPr>
          <w:p w:rsidR="0009391A" w:rsidRPr="000D5668" w:rsidRDefault="0009391A" w:rsidP="0065470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а постоянной основе</w:t>
            </w:r>
          </w:p>
        </w:tc>
        <w:tc>
          <w:tcPr>
            <w:tcW w:w="4394" w:type="dxa"/>
          </w:tcPr>
          <w:p w:rsidR="0009391A" w:rsidRPr="00964968" w:rsidRDefault="0097477E" w:rsidP="00654700">
            <w:pPr>
              <w:widowControl w:val="0"/>
              <w:spacing w:after="0"/>
              <w:ind w:right="200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Директор</w:t>
            </w:r>
          </w:p>
        </w:tc>
      </w:tr>
      <w:tr w:rsidR="0009391A" w:rsidTr="005B0B5E">
        <w:trPr>
          <w:trHeight w:val="412"/>
        </w:trPr>
        <w:tc>
          <w:tcPr>
            <w:tcW w:w="710" w:type="dxa"/>
          </w:tcPr>
          <w:p w:rsidR="0009391A" w:rsidRPr="00CD4A42" w:rsidRDefault="0009391A" w:rsidP="00654700">
            <w:pPr>
              <w:widowControl w:val="0"/>
              <w:spacing w:after="0"/>
              <w:ind w:right="200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D4A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7229" w:type="dxa"/>
          </w:tcPr>
          <w:p w:rsidR="0009391A" w:rsidRDefault="0009391A" w:rsidP="00654700">
            <w:pPr>
              <w:spacing w:after="0"/>
              <w:contextualSpacing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Проведение анализа сведений</w:t>
            </w:r>
          </w:p>
          <w:p w:rsidR="0009391A" w:rsidRPr="00964968" w:rsidRDefault="0009391A" w:rsidP="0065470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</w:rPr>
              <w:t xml:space="preserve"> (в части, касающейся профилактики коррупционных правонарушений), представленн</w:t>
            </w:r>
            <w:r w:rsidR="0097477E">
              <w:rPr>
                <w:rStyle w:val="2"/>
                <w:rFonts w:eastAsiaTheme="minorHAnsi"/>
              </w:rPr>
              <w:t>ых кандидатами на должность в М</w:t>
            </w:r>
            <w:r>
              <w:rPr>
                <w:rStyle w:val="2"/>
                <w:rFonts w:eastAsiaTheme="minorHAnsi"/>
              </w:rPr>
              <w:t>АУ МФЦ</w:t>
            </w:r>
          </w:p>
        </w:tc>
        <w:tc>
          <w:tcPr>
            <w:tcW w:w="2410" w:type="dxa"/>
          </w:tcPr>
          <w:p w:rsidR="0009391A" w:rsidRDefault="0009391A" w:rsidP="0065470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09391A" w:rsidRPr="00964968" w:rsidRDefault="0009391A" w:rsidP="0065470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постоянной основе</w:t>
            </w:r>
          </w:p>
        </w:tc>
        <w:tc>
          <w:tcPr>
            <w:tcW w:w="4394" w:type="dxa"/>
          </w:tcPr>
          <w:p w:rsidR="0009391A" w:rsidRPr="00964968" w:rsidRDefault="0097477E" w:rsidP="00654700">
            <w:pPr>
              <w:spacing w:after="0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Директор</w:t>
            </w:r>
          </w:p>
        </w:tc>
      </w:tr>
      <w:tr w:rsidR="0009391A" w:rsidRPr="00964968" w:rsidTr="0009391A">
        <w:trPr>
          <w:trHeight w:val="644"/>
        </w:trPr>
        <w:tc>
          <w:tcPr>
            <w:tcW w:w="710" w:type="dxa"/>
          </w:tcPr>
          <w:p w:rsidR="0009391A" w:rsidRPr="00CD4A42" w:rsidRDefault="0009391A" w:rsidP="00654700">
            <w:pPr>
              <w:widowControl w:val="0"/>
              <w:spacing w:after="0"/>
              <w:ind w:right="200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D4A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5</w:t>
            </w:r>
          </w:p>
        </w:tc>
        <w:tc>
          <w:tcPr>
            <w:tcW w:w="7229" w:type="dxa"/>
          </w:tcPr>
          <w:p w:rsidR="0009391A" w:rsidRPr="00964968" w:rsidRDefault="0009391A" w:rsidP="00654700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31E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Проведение антикоррупционной экспертизы локальных нормативных правовых актов и проектов локальны</w:t>
            </w:r>
            <w:r w:rsidR="0097477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х  нормативных правовых актов М</w:t>
            </w:r>
            <w:r w:rsidRPr="00E731E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АУ МФЦ</w:t>
            </w:r>
          </w:p>
        </w:tc>
        <w:tc>
          <w:tcPr>
            <w:tcW w:w="2410" w:type="dxa"/>
          </w:tcPr>
          <w:p w:rsidR="0009391A" w:rsidRPr="00964968" w:rsidRDefault="0009391A" w:rsidP="00654700">
            <w:pPr>
              <w:widowControl w:val="0"/>
              <w:spacing w:after="0"/>
              <w:ind w:right="200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 постоянной основе</w:t>
            </w:r>
          </w:p>
        </w:tc>
        <w:tc>
          <w:tcPr>
            <w:tcW w:w="4394" w:type="dxa"/>
          </w:tcPr>
          <w:p w:rsidR="0009391A" w:rsidRPr="00964968" w:rsidRDefault="0097477E" w:rsidP="0009391A">
            <w:pPr>
              <w:widowControl w:val="0"/>
              <w:spacing w:after="0"/>
              <w:ind w:right="200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Директор</w:t>
            </w:r>
            <w:r w:rsidR="0009391A" w:rsidRPr="000D56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09391A" w:rsidTr="0009391A">
        <w:trPr>
          <w:trHeight w:val="983"/>
        </w:trPr>
        <w:tc>
          <w:tcPr>
            <w:tcW w:w="710" w:type="dxa"/>
          </w:tcPr>
          <w:p w:rsidR="0009391A" w:rsidRPr="00CD4A42" w:rsidRDefault="0009391A" w:rsidP="00654700">
            <w:pPr>
              <w:widowControl w:val="0"/>
              <w:spacing w:after="0"/>
              <w:ind w:right="200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D4A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7229" w:type="dxa"/>
          </w:tcPr>
          <w:p w:rsidR="001A19CA" w:rsidRDefault="0009391A" w:rsidP="001A19CA">
            <w:pPr>
              <w:spacing w:after="0"/>
              <w:contextualSpacing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Проведение работы по</w:t>
            </w:r>
            <w:r w:rsidR="001A19CA">
              <w:rPr>
                <w:rStyle w:val="2"/>
                <w:rFonts w:eastAsiaTheme="minorHAnsi"/>
              </w:rPr>
              <w:t>:</w:t>
            </w:r>
          </w:p>
          <w:p w:rsidR="001A19CA" w:rsidRDefault="001A19CA" w:rsidP="001A19CA">
            <w:pPr>
              <w:spacing w:after="0"/>
              <w:contextualSpacing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</w:t>
            </w:r>
            <w:r w:rsidR="0009391A">
              <w:rPr>
                <w:rStyle w:val="2"/>
                <w:rFonts w:eastAsiaTheme="minorHAnsi"/>
              </w:rPr>
              <w:t xml:space="preserve"> выявлению случаев </w:t>
            </w:r>
            <w:r>
              <w:rPr>
                <w:rStyle w:val="2"/>
                <w:rFonts w:eastAsiaTheme="minorHAnsi"/>
              </w:rPr>
              <w:t xml:space="preserve">неисполнения </w:t>
            </w:r>
            <w:r w:rsidR="0097477E">
              <w:rPr>
                <w:rStyle w:val="2"/>
                <w:rFonts w:eastAsiaTheme="minorHAnsi"/>
              </w:rPr>
              <w:t xml:space="preserve"> должностными лицами МАУ</w:t>
            </w:r>
            <w:r w:rsidR="0009391A">
              <w:rPr>
                <w:rStyle w:val="2"/>
                <w:rFonts w:eastAsiaTheme="minorHAnsi"/>
              </w:rPr>
              <w:t xml:space="preserve"> МФЦ требований </w:t>
            </w:r>
            <w:r>
              <w:rPr>
                <w:rStyle w:val="2"/>
                <w:rFonts w:eastAsiaTheme="minorHAnsi"/>
              </w:rPr>
              <w:t>Поло</w:t>
            </w:r>
            <w:r w:rsidR="0097477E">
              <w:rPr>
                <w:rStyle w:val="2"/>
                <w:rFonts w:eastAsiaTheme="minorHAnsi"/>
              </w:rPr>
              <w:t>жения о конфликте интересов в М</w:t>
            </w:r>
            <w:r>
              <w:rPr>
                <w:rStyle w:val="2"/>
                <w:rFonts w:eastAsiaTheme="minorHAnsi"/>
              </w:rPr>
              <w:t>АУ МФЦ</w:t>
            </w:r>
          </w:p>
          <w:p w:rsidR="001A19CA" w:rsidRDefault="001A19CA" w:rsidP="00C06532">
            <w:pPr>
              <w:spacing w:after="0"/>
              <w:contextualSpacing/>
            </w:pPr>
            <w:r>
              <w:rPr>
                <w:rStyle w:val="2"/>
                <w:rFonts w:eastAsiaTheme="minorHAnsi"/>
              </w:rPr>
              <w:t>-выявлению  нарушений Правил обмена деловыми подарками и знак</w:t>
            </w:r>
            <w:r w:rsidR="0097477E">
              <w:rPr>
                <w:rStyle w:val="2"/>
                <w:rFonts w:eastAsiaTheme="minorHAnsi"/>
              </w:rPr>
              <w:t>ами делового гостеприимства в М</w:t>
            </w:r>
            <w:r>
              <w:rPr>
                <w:rStyle w:val="2"/>
                <w:rFonts w:eastAsiaTheme="minorHAnsi"/>
              </w:rPr>
              <w:t>АУ МФЦ</w:t>
            </w:r>
          </w:p>
        </w:tc>
        <w:tc>
          <w:tcPr>
            <w:tcW w:w="2410" w:type="dxa"/>
          </w:tcPr>
          <w:p w:rsidR="0009391A" w:rsidRPr="000D5668" w:rsidRDefault="0009391A" w:rsidP="0065470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а постоянной основе</w:t>
            </w:r>
          </w:p>
        </w:tc>
        <w:tc>
          <w:tcPr>
            <w:tcW w:w="4394" w:type="dxa"/>
          </w:tcPr>
          <w:p w:rsidR="0009391A" w:rsidRDefault="0097477E" w:rsidP="00654700">
            <w:pPr>
              <w:spacing w:after="0"/>
              <w:contextualSpacing/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Директор</w:t>
            </w:r>
          </w:p>
        </w:tc>
      </w:tr>
      <w:tr w:rsidR="0009391A" w:rsidTr="0009391A">
        <w:trPr>
          <w:trHeight w:val="644"/>
        </w:trPr>
        <w:tc>
          <w:tcPr>
            <w:tcW w:w="710" w:type="dxa"/>
          </w:tcPr>
          <w:p w:rsidR="0009391A" w:rsidRPr="00CD4A42" w:rsidRDefault="0009391A" w:rsidP="00654700">
            <w:pPr>
              <w:widowControl w:val="0"/>
              <w:spacing w:after="0"/>
              <w:ind w:right="200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D4A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7229" w:type="dxa"/>
          </w:tcPr>
          <w:p w:rsidR="0009391A" w:rsidRDefault="00C06532" w:rsidP="002A7EBE">
            <w:pPr>
              <w:spacing w:after="0"/>
              <w:contextualSpacing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Анализ </w:t>
            </w:r>
            <w:r w:rsidR="0009391A" w:rsidRPr="00E731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правоприменительной практики по результатам вступивших в законную силу решений судов, арбитражных судов (при их наличии) о признании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недействительными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2A7E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или незаконными </w:t>
            </w:r>
            <w:r w:rsidR="0009391A" w:rsidRPr="00E731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локальных нормативных правовых</w:t>
            </w:r>
            <w:r w:rsidR="009747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актов, решений и действий 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АУ МФЦ</w:t>
            </w:r>
            <w:r w:rsidR="0009391A" w:rsidRPr="00E731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10" w:type="dxa"/>
          </w:tcPr>
          <w:p w:rsidR="0009391A" w:rsidRDefault="0009391A" w:rsidP="00654700">
            <w:pPr>
              <w:spacing w:after="0"/>
              <w:contextualSpacing/>
            </w:pPr>
            <w:r>
              <w:rPr>
                <w:rStyle w:val="2"/>
                <w:rFonts w:eastAsiaTheme="minorHAnsi"/>
              </w:rPr>
              <w:t xml:space="preserve"> Ежеквартально</w:t>
            </w:r>
          </w:p>
        </w:tc>
        <w:tc>
          <w:tcPr>
            <w:tcW w:w="4394" w:type="dxa"/>
          </w:tcPr>
          <w:p w:rsidR="0009391A" w:rsidRPr="00C944E8" w:rsidRDefault="0097477E" w:rsidP="00654700">
            <w:pPr>
              <w:spacing w:after="0"/>
              <w:contextualSpacing/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Директор</w:t>
            </w:r>
          </w:p>
        </w:tc>
      </w:tr>
      <w:tr w:rsidR="0009391A" w:rsidTr="0009391A">
        <w:trPr>
          <w:trHeight w:val="644"/>
        </w:trPr>
        <w:tc>
          <w:tcPr>
            <w:tcW w:w="710" w:type="dxa"/>
          </w:tcPr>
          <w:p w:rsidR="0009391A" w:rsidRPr="00CD4A42" w:rsidRDefault="0009391A" w:rsidP="00654700">
            <w:pPr>
              <w:widowControl w:val="0"/>
              <w:spacing w:after="0"/>
              <w:ind w:right="200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D4A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7229" w:type="dxa"/>
          </w:tcPr>
          <w:p w:rsidR="0009391A" w:rsidRPr="006733BE" w:rsidRDefault="0009391A" w:rsidP="00654700">
            <w:pPr>
              <w:contextualSpacing/>
            </w:pPr>
            <w:r>
              <w:rPr>
                <w:rStyle w:val="2"/>
                <w:rFonts w:eastAsiaTheme="minorHAnsi"/>
              </w:rPr>
              <w:t>Проведение мониторинга коррупционных проявлений посредством анализа жалоб и обращений граждан и организаций, а также публикаций в СМИ</w:t>
            </w:r>
          </w:p>
        </w:tc>
        <w:tc>
          <w:tcPr>
            <w:tcW w:w="2410" w:type="dxa"/>
          </w:tcPr>
          <w:p w:rsidR="0009391A" w:rsidRPr="006733BE" w:rsidRDefault="0009391A" w:rsidP="00654700">
            <w:pPr>
              <w:spacing w:after="0"/>
              <w:contextualSpacing/>
            </w:pPr>
            <w:r>
              <w:rPr>
                <w:rStyle w:val="2"/>
                <w:rFonts w:eastAsiaTheme="minorHAnsi"/>
                <w:lang w:bidi="en-US"/>
              </w:rPr>
              <w:t>На постоянной основе</w:t>
            </w:r>
            <w:r w:rsidR="00C06532">
              <w:rPr>
                <w:rStyle w:val="2"/>
                <w:rFonts w:eastAsiaTheme="minorHAnsi"/>
                <w:lang w:bidi="en-US"/>
              </w:rPr>
              <w:t xml:space="preserve"> (анализ </w:t>
            </w:r>
            <w:proofErr w:type="gramStart"/>
            <w:r w:rsidR="00C06532">
              <w:rPr>
                <w:rStyle w:val="2"/>
                <w:rFonts w:eastAsiaTheme="minorHAnsi"/>
                <w:lang w:bidi="en-US"/>
              </w:rPr>
              <w:t>–е</w:t>
            </w:r>
            <w:proofErr w:type="gramEnd"/>
            <w:r w:rsidR="00C06532">
              <w:rPr>
                <w:rStyle w:val="2"/>
                <w:rFonts w:eastAsiaTheme="minorHAnsi"/>
                <w:lang w:bidi="en-US"/>
              </w:rPr>
              <w:t>жеквартально)</w:t>
            </w:r>
          </w:p>
        </w:tc>
        <w:tc>
          <w:tcPr>
            <w:tcW w:w="4394" w:type="dxa"/>
          </w:tcPr>
          <w:p w:rsidR="0009391A" w:rsidRDefault="0097477E" w:rsidP="00C06532">
            <w:pPr>
              <w:spacing w:after="0"/>
              <w:contextualSpacing/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Директор</w:t>
            </w:r>
          </w:p>
        </w:tc>
      </w:tr>
      <w:tr w:rsidR="0097477E" w:rsidRPr="00964968" w:rsidTr="0009391A">
        <w:trPr>
          <w:trHeight w:val="644"/>
        </w:trPr>
        <w:tc>
          <w:tcPr>
            <w:tcW w:w="710" w:type="dxa"/>
          </w:tcPr>
          <w:p w:rsidR="0097477E" w:rsidRPr="00CD4A42" w:rsidRDefault="0097477E" w:rsidP="00654700">
            <w:pPr>
              <w:widowControl w:val="0"/>
              <w:spacing w:after="0"/>
              <w:ind w:right="200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D4A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7229" w:type="dxa"/>
          </w:tcPr>
          <w:p w:rsidR="0097477E" w:rsidRPr="00343824" w:rsidRDefault="0097477E" w:rsidP="0065470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31E8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 w:bidi="ru-RU"/>
              </w:rPr>
              <w:t>Изучение и дове</w:t>
            </w:r>
            <w:r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 w:bidi="ru-RU"/>
              </w:rPr>
              <w:t>дение до сведения сотрудников М</w:t>
            </w:r>
            <w:r w:rsidRPr="00E731E8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АУ МФЦ вносимых изменений и дополнений в законодательство Российской Федерации о противодействии коррупции, в части касающейся </w:t>
            </w:r>
            <w:r w:rsidRPr="00E731E8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деятельности МФЦ, в том числе об установлении нака</w:t>
            </w:r>
            <w:r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 w:bidi="ru-RU"/>
              </w:rPr>
              <w:t>зания за коррупционные действия</w:t>
            </w:r>
          </w:p>
        </w:tc>
        <w:tc>
          <w:tcPr>
            <w:tcW w:w="2410" w:type="dxa"/>
          </w:tcPr>
          <w:p w:rsidR="0097477E" w:rsidRPr="00343824" w:rsidRDefault="0097477E" w:rsidP="0065470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постоянной основе</w:t>
            </w:r>
          </w:p>
        </w:tc>
        <w:tc>
          <w:tcPr>
            <w:tcW w:w="4394" w:type="dxa"/>
          </w:tcPr>
          <w:p w:rsidR="0097477E" w:rsidRPr="00343824" w:rsidRDefault="0097477E" w:rsidP="0097477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Директор</w:t>
            </w:r>
            <w:r w:rsidRPr="000D566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97477E" w:rsidRPr="00343824" w:rsidRDefault="0097477E" w:rsidP="006547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77E" w:rsidTr="0009391A">
        <w:trPr>
          <w:trHeight w:val="644"/>
        </w:trPr>
        <w:tc>
          <w:tcPr>
            <w:tcW w:w="710" w:type="dxa"/>
          </w:tcPr>
          <w:p w:rsidR="0097477E" w:rsidRPr="00CD4A42" w:rsidRDefault="0097477E" w:rsidP="00654700">
            <w:pPr>
              <w:widowControl w:val="0"/>
              <w:spacing w:after="0"/>
              <w:ind w:right="200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D4A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10</w:t>
            </w:r>
          </w:p>
        </w:tc>
        <w:tc>
          <w:tcPr>
            <w:tcW w:w="7229" w:type="dxa"/>
          </w:tcPr>
          <w:p w:rsidR="0097477E" w:rsidRPr="00343824" w:rsidRDefault="0097477E" w:rsidP="006547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824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proofErr w:type="spellStart"/>
            <w:r w:rsidRPr="003438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нтикоррупционных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стандартов в М</w:t>
            </w:r>
            <w:r w:rsidRPr="00343824">
              <w:rPr>
                <w:rFonts w:ascii="Times New Roman" w:hAnsi="Times New Roman" w:cs="Times New Roman"/>
                <w:sz w:val="28"/>
                <w:szCs w:val="28"/>
              </w:rPr>
              <w:t>АУ МФЦ</w:t>
            </w:r>
          </w:p>
          <w:p w:rsidR="0097477E" w:rsidRPr="00343824" w:rsidRDefault="0097477E" w:rsidP="00654700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7477E" w:rsidRPr="00343824" w:rsidRDefault="0097477E" w:rsidP="0065470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824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4394" w:type="dxa"/>
          </w:tcPr>
          <w:p w:rsidR="0097477E" w:rsidRPr="00343824" w:rsidRDefault="0097477E" w:rsidP="0009391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Директор</w:t>
            </w:r>
          </w:p>
        </w:tc>
      </w:tr>
    </w:tbl>
    <w:p w:rsidR="0009391A" w:rsidRPr="006C6FAD" w:rsidRDefault="0009391A" w:rsidP="008207C3">
      <w:pPr>
        <w:contextualSpacing/>
      </w:pPr>
    </w:p>
    <w:sectPr w:rsidR="0009391A" w:rsidRPr="006C6FAD" w:rsidSect="00DF7EC3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91A"/>
    <w:rsid w:val="0009391A"/>
    <w:rsid w:val="001A19CA"/>
    <w:rsid w:val="001A6568"/>
    <w:rsid w:val="002A7EBE"/>
    <w:rsid w:val="0050105B"/>
    <w:rsid w:val="005B0B5E"/>
    <w:rsid w:val="007051C1"/>
    <w:rsid w:val="008207C3"/>
    <w:rsid w:val="008258D0"/>
    <w:rsid w:val="0096183A"/>
    <w:rsid w:val="0097477E"/>
    <w:rsid w:val="00A0765C"/>
    <w:rsid w:val="00C06532"/>
    <w:rsid w:val="00C62026"/>
    <w:rsid w:val="00CC2D27"/>
    <w:rsid w:val="00DF7EC3"/>
    <w:rsid w:val="00F5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093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093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Людмила Валиевна</dc:creator>
  <cp:lastModifiedBy>user6</cp:lastModifiedBy>
  <cp:revision>14</cp:revision>
  <dcterms:created xsi:type="dcterms:W3CDTF">2019-12-24T12:03:00Z</dcterms:created>
  <dcterms:modified xsi:type="dcterms:W3CDTF">2020-02-26T10:19:00Z</dcterms:modified>
</cp:coreProperties>
</file>